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712" w:rsidRDefault="00E24712" w:rsidP="00E24712">
      <w:pPr>
        <w:jc w:val="center"/>
        <w:rPr>
          <w:rFonts w:ascii="Arial" w:hAnsi="Arial" w:cs="Arial"/>
          <w:b/>
        </w:rPr>
      </w:pPr>
    </w:p>
    <w:p w:rsidR="00E24712" w:rsidRDefault="00E24712" w:rsidP="00E24712">
      <w:pPr>
        <w:jc w:val="center"/>
        <w:rPr>
          <w:rFonts w:ascii="Arial" w:hAnsi="Arial" w:cs="Arial"/>
          <w:b/>
        </w:rPr>
      </w:pPr>
    </w:p>
    <w:p w:rsidR="00E24712" w:rsidRDefault="00E24712" w:rsidP="00E24712">
      <w:pPr>
        <w:jc w:val="center"/>
        <w:rPr>
          <w:rFonts w:ascii="Arial" w:hAnsi="Arial" w:cs="Arial"/>
          <w:b/>
        </w:rPr>
      </w:pPr>
    </w:p>
    <w:p w:rsidR="00E24712" w:rsidRDefault="00E24712" w:rsidP="00E24712">
      <w:pPr>
        <w:jc w:val="center"/>
        <w:rPr>
          <w:rFonts w:ascii="Arial" w:hAnsi="Arial" w:cs="Arial"/>
          <w:b/>
        </w:rPr>
      </w:pPr>
    </w:p>
    <w:p w:rsidR="00E24712" w:rsidRDefault="00E24712" w:rsidP="00E24712">
      <w:pPr>
        <w:jc w:val="center"/>
        <w:rPr>
          <w:rFonts w:ascii="Arial" w:hAnsi="Arial" w:cs="Arial"/>
          <w:b/>
        </w:rPr>
      </w:pPr>
    </w:p>
    <w:p w:rsidR="00E24712" w:rsidRDefault="00E24712" w:rsidP="00E24712">
      <w:pPr>
        <w:jc w:val="center"/>
        <w:rPr>
          <w:rFonts w:ascii="Arial" w:hAnsi="Arial" w:cs="Arial"/>
          <w:b/>
        </w:rPr>
      </w:pPr>
    </w:p>
    <w:p w:rsidR="00E24712" w:rsidRDefault="00E24712" w:rsidP="00E24712">
      <w:pPr>
        <w:jc w:val="center"/>
        <w:rPr>
          <w:rFonts w:ascii="Arial" w:hAnsi="Arial" w:cs="Arial"/>
          <w:b/>
        </w:rPr>
      </w:pPr>
    </w:p>
    <w:p w:rsidR="00E24712" w:rsidRDefault="00E24712" w:rsidP="00E24712">
      <w:pPr>
        <w:jc w:val="center"/>
        <w:rPr>
          <w:rFonts w:ascii="Arial" w:hAnsi="Arial" w:cs="Arial"/>
          <w:b/>
        </w:rPr>
      </w:pPr>
    </w:p>
    <w:p w:rsidR="00E24712" w:rsidRDefault="00E24712" w:rsidP="00E24712">
      <w:pPr>
        <w:jc w:val="center"/>
        <w:rPr>
          <w:rFonts w:ascii="Arial" w:hAnsi="Arial" w:cs="Arial"/>
          <w:b/>
        </w:rPr>
      </w:pPr>
    </w:p>
    <w:p w:rsidR="00E24712" w:rsidRDefault="00E24712" w:rsidP="00E24712">
      <w:pPr>
        <w:jc w:val="center"/>
        <w:rPr>
          <w:rFonts w:ascii="Arial" w:hAnsi="Arial" w:cs="Arial"/>
          <w:b/>
        </w:rPr>
      </w:pPr>
    </w:p>
    <w:p w:rsidR="00E24712" w:rsidRDefault="00E24712" w:rsidP="00E24712">
      <w:pPr>
        <w:jc w:val="center"/>
        <w:rPr>
          <w:rFonts w:ascii="Arial" w:hAnsi="Arial" w:cs="Arial"/>
          <w:b/>
        </w:rPr>
      </w:pPr>
    </w:p>
    <w:p w:rsidR="00E24712" w:rsidRDefault="00E24712" w:rsidP="00E24712">
      <w:pPr>
        <w:jc w:val="center"/>
        <w:rPr>
          <w:rFonts w:ascii="Arial" w:hAnsi="Arial" w:cs="Arial"/>
          <w:b/>
        </w:rPr>
      </w:pPr>
    </w:p>
    <w:p w:rsidR="00E24712" w:rsidRDefault="00E24712" w:rsidP="00E24712">
      <w:pPr>
        <w:jc w:val="center"/>
        <w:rPr>
          <w:rFonts w:ascii="Arial" w:hAnsi="Arial" w:cs="Arial"/>
          <w:b/>
        </w:rPr>
      </w:pPr>
    </w:p>
    <w:p w:rsidR="00E24712" w:rsidRDefault="00E24712" w:rsidP="00E24712">
      <w:pPr>
        <w:jc w:val="center"/>
        <w:rPr>
          <w:rFonts w:ascii="Arial" w:hAnsi="Arial" w:cs="Arial"/>
          <w:b/>
        </w:rPr>
      </w:pPr>
    </w:p>
    <w:p w:rsidR="009D11E8" w:rsidRDefault="009D11E8" w:rsidP="009D11E8">
      <w:pPr>
        <w:jc w:val="center"/>
        <w:rPr>
          <w:rFonts w:ascii="Arial" w:hAnsi="Arial" w:cs="Arial"/>
          <w:b/>
          <w:sz w:val="52"/>
          <w:szCs w:val="52"/>
        </w:rPr>
      </w:pPr>
    </w:p>
    <w:p w:rsidR="009D11E8" w:rsidRDefault="009D11E8" w:rsidP="009D11E8">
      <w:pPr>
        <w:jc w:val="center"/>
        <w:rPr>
          <w:rFonts w:ascii="Arial" w:hAnsi="Arial" w:cs="Arial"/>
          <w:b/>
          <w:sz w:val="52"/>
          <w:szCs w:val="52"/>
        </w:rPr>
      </w:pPr>
    </w:p>
    <w:p w:rsidR="009D11E8" w:rsidRDefault="009D11E8" w:rsidP="009D11E8">
      <w:pPr>
        <w:jc w:val="center"/>
        <w:rPr>
          <w:rFonts w:ascii="Arial" w:hAnsi="Arial" w:cs="Arial"/>
          <w:b/>
          <w:sz w:val="52"/>
          <w:szCs w:val="52"/>
        </w:rPr>
      </w:pPr>
    </w:p>
    <w:p w:rsidR="00E24712" w:rsidRPr="009D11E8" w:rsidRDefault="00E24712" w:rsidP="009D11E8">
      <w:pPr>
        <w:jc w:val="center"/>
        <w:rPr>
          <w:rFonts w:ascii="Arial" w:hAnsi="Arial" w:cs="Arial"/>
          <w:b/>
          <w:sz w:val="52"/>
          <w:szCs w:val="52"/>
        </w:rPr>
      </w:pPr>
      <w:r w:rsidRPr="009D11E8">
        <w:rPr>
          <w:rFonts w:ascii="Arial" w:hAnsi="Arial" w:cs="Arial"/>
          <w:b/>
          <w:sz w:val="52"/>
          <w:szCs w:val="52"/>
        </w:rPr>
        <w:t>ΠΑΡΑΡΤΗΜΑ</w:t>
      </w:r>
    </w:p>
    <w:p w:rsidR="00E24712" w:rsidRPr="00355802" w:rsidRDefault="00E24712" w:rsidP="00E24712">
      <w:pPr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955F22" w:rsidRDefault="00955F22" w:rsidP="00E24712">
      <w:pPr>
        <w:ind w:left="360"/>
        <w:jc w:val="both"/>
        <w:rPr>
          <w:rFonts w:ascii="Arial" w:hAnsi="Arial" w:cs="Arial"/>
        </w:rPr>
      </w:pPr>
    </w:p>
    <w:p w:rsidR="00E24712" w:rsidRPr="009D11E8" w:rsidRDefault="00955F22" w:rsidP="00E24712">
      <w:pPr>
        <w:ind w:left="360"/>
        <w:jc w:val="both"/>
        <w:rPr>
          <w:rFonts w:ascii="Arial" w:hAnsi="Arial" w:cs="Arial"/>
          <w:sz w:val="24"/>
          <w:szCs w:val="24"/>
        </w:rPr>
      </w:pPr>
      <w:r w:rsidRPr="009D11E8">
        <w:rPr>
          <w:rFonts w:ascii="Arial" w:hAnsi="Arial" w:cs="Arial"/>
          <w:sz w:val="24"/>
          <w:szCs w:val="24"/>
        </w:rPr>
        <w:t xml:space="preserve">Α. </w:t>
      </w:r>
      <w:r w:rsidR="00E24712" w:rsidRPr="009D11E8">
        <w:rPr>
          <w:rFonts w:ascii="Arial" w:hAnsi="Arial" w:cs="Arial"/>
          <w:sz w:val="24"/>
          <w:szCs w:val="24"/>
        </w:rPr>
        <w:t>Στα πρώτα 100 φάρμακα σε όγκο κατανάλωσης και στο κόστος μόνο επτά από αυτά είναι ελληνικής παραγωγής, όπως δείχνουν τα παρακάτω στοιχεία:</w:t>
      </w:r>
    </w:p>
    <w:p w:rsidR="00B95DB0" w:rsidRDefault="00B95DB0"/>
    <w:p w:rsidR="00E24712" w:rsidRDefault="00E24712"/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D361F5" w:rsidRDefault="00D361F5" w:rsidP="00E24712">
      <w:pPr>
        <w:ind w:left="360"/>
        <w:jc w:val="both"/>
        <w:rPr>
          <w:rFonts w:ascii="Arial" w:hAnsi="Arial" w:cs="Arial"/>
        </w:rPr>
      </w:pPr>
    </w:p>
    <w:p w:rsidR="009D11E8" w:rsidRDefault="009D11E8" w:rsidP="00D361F5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9D11E8" w:rsidRDefault="009D11E8" w:rsidP="00D361F5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9D11E8" w:rsidRDefault="009D11E8" w:rsidP="00D361F5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9D11E8" w:rsidRDefault="009D11E8" w:rsidP="00D361F5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D361F5" w:rsidRDefault="00D361F5" w:rsidP="00D361F5">
      <w:pPr>
        <w:jc w:val="both"/>
        <w:rPr>
          <w:rFonts w:ascii="Arial" w:hAnsi="Arial" w:cs="Arial"/>
          <w:sz w:val="24"/>
          <w:szCs w:val="24"/>
        </w:rPr>
      </w:pPr>
    </w:p>
    <w:p w:rsidR="0099143B" w:rsidRPr="00D361F5" w:rsidRDefault="0099143B" w:rsidP="0099143B">
      <w:pPr>
        <w:ind w:left="360"/>
        <w:jc w:val="both"/>
        <w:rPr>
          <w:rFonts w:ascii="Arial" w:hAnsi="Arial" w:cs="Arial"/>
          <w:sz w:val="24"/>
          <w:szCs w:val="24"/>
        </w:rPr>
      </w:pPr>
      <w:r w:rsidRPr="00D361F5">
        <w:rPr>
          <w:rFonts w:ascii="Arial" w:hAnsi="Arial" w:cs="Arial"/>
          <w:sz w:val="24"/>
          <w:szCs w:val="24"/>
        </w:rPr>
        <w:t xml:space="preserve">Ο </w:t>
      </w:r>
      <w:r>
        <w:rPr>
          <w:rFonts w:ascii="Arial" w:hAnsi="Arial" w:cs="Arial"/>
          <w:sz w:val="24"/>
          <w:szCs w:val="24"/>
        </w:rPr>
        <w:t>δεύτερος πίνακας</w:t>
      </w:r>
      <w:r w:rsidRPr="00D361F5">
        <w:rPr>
          <w:rFonts w:ascii="Arial" w:hAnsi="Arial" w:cs="Arial"/>
          <w:sz w:val="24"/>
          <w:szCs w:val="24"/>
        </w:rPr>
        <w:t>, που επισυνάπτεται, δείχνει πως συμπεριφέρονται οι ελληνικές φαρμακευτικές εταιρείες σε σύγκριση με τις πολυεθνικές.</w:t>
      </w:r>
    </w:p>
    <w:p w:rsidR="009D11E8" w:rsidRDefault="009D11E8" w:rsidP="00E24712">
      <w:pPr>
        <w:jc w:val="both"/>
        <w:rPr>
          <w:rFonts w:ascii="Arial" w:hAnsi="Arial" w:cs="Arial"/>
        </w:rPr>
      </w:pPr>
    </w:p>
    <w:p w:rsidR="00E24712" w:rsidRPr="009D11E8" w:rsidRDefault="00E24712" w:rsidP="00E24712">
      <w:pPr>
        <w:pStyle w:val="Style1"/>
        <w:widowControl/>
        <w:numPr>
          <w:ilvl w:val="0"/>
          <w:numId w:val="1"/>
        </w:numPr>
        <w:spacing w:before="120" w:after="120"/>
        <w:ind w:right="86"/>
        <w:jc w:val="both"/>
        <w:rPr>
          <w:rStyle w:val="FontStyle16"/>
          <w:rFonts w:ascii="Arial" w:hAnsi="Arial" w:cs="Arial"/>
          <w:sz w:val="24"/>
          <w:szCs w:val="24"/>
          <w:lang w:val="el-GR" w:eastAsia="el-GR"/>
        </w:rPr>
      </w:pPr>
      <w:r w:rsidRPr="009D11E8">
        <w:rPr>
          <w:rStyle w:val="FontStyle16"/>
          <w:rFonts w:ascii="Arial" w:hAnsi="Arial" w:cs="Arial"/>
          <w:sz w:val="24"/>
          <w:szCs w:val="24"/>
          <w:lang w:val="el-GR" w:eastAsia="el-GR"/>
        </w:rPr>
        <w:t>Η δημόσια φαρμακευτική δαπάνη για το 2014 ορίζεται αυθαίρετα στα 2 δις. €.</w:t>
      </w:r>
    </w:p>
    <w:p w:rsidR="00E24712" w:rsidRPr="009D11E8" w:rsidRDefault="00E24712" w:rsidP="00E24712">
      <w:pPr>
        <w:pStyle w:val="Style3"/>
        <w:widowControl/>
        <w:numPr>
          <w:ilvl w:val="0"/>
          <w:numId w:val="1"/>
        </w:numPr>
        <w:tabs>
          <w:tab w:val="left" w:pos="581"/>
        </w:tabs>
        <w:spacing w:before="120" w:after="120" w:line="240" w:lineRule="auto"/>
        <w:ind w:right="86"/>
        <w:rPr>
          <w:rStyle w:val="FontStyle17"/>
          <w:rFonts w:ascii="Arial" w:hAnsi="Arial" w:cs="Arial"/>
          <w:sz w:val="24"/>
          <w:szCs w:val="24"/>
          <w:lang w:val="el-GR"/>
        </w:rPr>
      </w:pPr>
      <w:r w:rsidRPr="009D11E8">
        <w:rPr>
          <w:rStyle w:val="FontStyle16"/>
          <w:rFonts w:ascii="Arial" w:hAnsi="Arial" w:cs="Arial"/>
          <w:sz w:val="24"/>
          <w:szCs w:val="24"/>
          <w:lang w:val="el-GR" w:eastAsia="el-GR"/>
        </w:rPr>
        <w:t>Όλοι οι φορείς της φαρμακευτικής αγοράς έχουν προειδοποιήσει ότι η ομαλή παροχή φαρμακευτικής φροντίδας είναι ΑΔΥΝΑΤΗ με αυτά τα επίπεδα φαρμακευτικής δαπάνης.</w:t>
      </w:r>
    </w:p>
    <w:p w:rsidR="00E24712" w:rsidRPr="009D11E8" w:rsidRDefault="00E24712" w:rsidP="00E24712">
      <w:pPr>
        <w:pStyle w:val="Style3"/>
        <w:widowControl/>
        <w:numPr>
          <w:ilvl w:val="0"/>
          <w:numId w:val="1"/>
        </w:numPr>
        <w:tabs>
          <w:tab w:val="left" w:pos="581"/>
        </w:tabs>
        <w:spacing w:before="120" w:after="120" w:line="240" w:lineRule="auto"/>
        <w:ind w:right="86"/>
        <w:rPr>
          <w:rStyle w:val="FontStyle17"/>
          <w:rFonts w:ascii="Arial" w:hAnsi="Arial" w:cs="Arial"/>
          <w:sz w:val="24"/>
          <w:szCs w:val="24"/>
          <w:lang w:val="el-GR"/>
        </w:rPr>
      </w:pPr>
      <w:r w:rsidRPr="009D11E8">
        <w:rPr>
          <w:rStyle w:val="FontStyle16"/>
          <w:rFonts w:ascii="Arial" w:hAnsi="Arial" w:cs="Arial"/>
          <w:sz w:val="24"/>
          <w:szCs w:val="24"/>
          <w:lang w:val="el-GR" w:eastAsia="el-GR"/>
        </w:rPr>
        <w:t>Το Υπουργείο και η Τρόικα προβάλλουν το επιχείρημα ότι εφόσον η Πορτογαλία με παρόμοιο πληθυσμό με την Ελλάδα καταφέρνει να προσαρμοστεί στο επίπεδο του 2 δις. τότε και η Ελλάδα μπορεί να τα καταφέρει. Παραλείπουν όμως να αναφερθούν στο γεγονός ότι στην Πορτογαλία η συμμετοχή των ασθενών στο κόστος του φαρμάκου είναι στο 50% ενώ στην Ελλάδα είναι 20-22%.</w:t>
      </w:r>
    </w:p>
    <w:p w:rsidR="00E24712" w:rsidRPr="009D11E8" w:rsidRDefault="00E24712" w:rsidP="00E24712">
      <w:pPr>
        <w:pStyle w:val="Style6"/>
        <w:widowControl/>
        <w:numPr>
          <w:ilvl w:val="0"/>
          <w:numId w:val="1"/>
        </w:numPr>
        <w:spacing w:before="120" w:after="120"/>
        <w:ind w:right="86"/>
        <w:jc w:val="both"/>
        <w:rPr>
          <w:rStyle w:val="FontStyle16"/>
          <w:rFonts w:ascii="Arial" w:hAnsi="Arial" w:cs="Arial"/>
          <w:sz w:val="24"/>
          <w:szCs w:val="24"/>
          <w:lang w:val="el-GR" w:eastAsia="el-GR"/>
        </w:rPr>
      </w:pPr>
      <w:r w:rsidRPr="009D11E8">
        <w:rPr>
          <w:rStyle w:val="FontStyle16"/>
          <w:rFonts w:ascii="Arial" w:hAnsi="Arial" w:cs="Arial"/>
          <w:sz w:val="24"/>
          <w:szCs w:val="24"/>
          <w:lang w:val="el-GR" w:eastAsia="el-GR"/>
        </w:rPr>
        <w:t>Έτσι λοιπόν θα πιάσουμε το στόχο, μετακυλώντας το κόστος στους ασθενείς?</w:t>
      </w:r>
    </w:p>
    <w:p w:rsidR="00E24712" w:rsidRPr="009D11E8" w:rsidRDefault="00E24712" w:rsidP="00E24712">
      <w:pPr>
        <w:pStyle w:val="Style3"/>
        <w:widowControl/>
        <w:numPr>
          <w:ilvl w:val="0"/>
          <w:numId w:val="1"/>
        </w:numPr>
        <w:tabs>
          <w:tab w:val="left" w:pos="581"/>
        </w:tabs>
        <w:spacing w:before="120" w:after="120" w:line="240" w:lineRule="auto"/>
        <w:ind w:right="86"/>
        <w:rPr>
          <w:rStyle w:val="FontStyle16"/>
          <w:rFonts w:ascii="Arial" w:hAnsi="Arial" w:cs="Arial"/>
          <w:sz w:val="24"/>
          <w:szCs w:val="24"/>
          <w:lang w:val="el-GR"/>
        </w:rPr>
      </w:pPr>
      <w:r w:rsidRPr="009D11E8">
        <w:rPr>
          <w:rStyle w:val="FontStyle16"/>
          <w:rFonts w:ascii="Arial" w:hAnsi="Arial" w:cs="Arial"/>
          <w:sz w:val="24"/>
          <w:szCs w:val="24"/>
          <w:lang w:val="el-GR"/>
        </w:rPr>
        <w:t>Επίσης παραλείπουν να αναφερθούν στο γεγονός ότι η κατά κεφαλή φαρμακευτική δαπάνη στην Ελλάδα έφθασε να κυμαίνεται μόλις στο 50% του ευρωπαϊκού μέσου όρου. Αυτό ισοδυναμεί με υγειονομική καταστροφή.</w:t>
      </w:r>
    </w:p>
    <w:p w:rsidR="00E24712" w:rsidRPr="009D11E8" w:rsidRDefault="00E24712" w:rsidP="00E24712">
      <w:pPr>
        <w:pStyle w:val="Style5"/>
        <w:widowControl/>
        <w:numPr>
          <w:ilvl w:val="0"/>
          <w:numId w:val="1"/>
        </w:numPr>
        <w:tabs>
          <w:tab w:val="left" w:pos="610"/>
        </w:tabs>
        <w:spacing w:before="120" w:after="120" w:line="240" w:lineRule="auto"/>
        <w:ind w:right="86"/>
        <w:rPr>
          <w:rStyle w:val="FontStyle16"/>
          <w:rFonts w:ascii="Arial" w:hAnsi="Arial" w:cs="Arial"/>
          <w:sz w:val="24"/>
          <w:szCs w:val="24"/>
          <w:lang w:val="el-GR"/>
        </w:rPr>
      </w:pPr>
      <w:r w:rsidRPr="009D11E8">
        <w:rPr>
          <w:rStyle w:val="FontStyle16"/>
          <w:rFonts w:ascii="Arial" w:hAnsi="Arial" w:cs="Arial"/>
          <w:sz w:val="24"/>
          <w:szCs w:val="24"/>
          <w:lang w:val="el-GR"/>
        </w:rPr>
        <w:t xml:space="preserve">Επειδή λοιπόν η κυβέρνηση δεν θέλησε να διαπραγματευτεί με την Τρόικα, έρχεται τώρα με το νόμο να διασφαλίσει (προφανώς καθ' υπόδειξη των δανειστών) πως θα μοιραστεί η πίτα </w:t>
      </w:r>
      <w:r w:rsidRPr="009D11E8">
        <w:rPr>
          <w:rStyle w:val="FontStyle16"/>
          <w:rFonts w:ascii="Arial" w:hAnsi="Arial" w:cs="Arial"/>
          <w:sz w:val="24"/>
          <w:szCs w:val="24"/>
          <w:lang w:val="el-GR" w:eastAsia="el-GR"/>
        </w:rPr>
        <w:t>των 2 δις. ευρώ φροντίζοντας βεβαίως να χαϊδεύει τις πολυεθνικές με τα ακριβά φάρμακα.</w:t>
      </w:r>
    </w:p>
    <w:p w:rsidR="00E24712" w:rsidRPr="009D11E8" w:rsidRDefault="00E24712" w:rsidP="00E24712">
      <w:pPr>
        <w:pStyle w:val="Style3"/>
        <w:widowControl/>
        <w:numPr>
          <w:ilvl w:val="0"/>
          <w:numId w:val="1"/>
        </w:numPr>
        <w:tabs>
          <w:tab w:val="left" w:pos="581"/>
          <w:tab w:val="left" w:pos="5813"/>
        </w:tabs>
        <w:spacing w:before="120" w:after="120" w:line="240" w:lineRule="auto"/>
        <w:ind w:right="86"/>
        <w:rPr>
          <w:rStyle w:val="FontStyle16"/>
          <w:rFonts w:ascii="Arial" w:hAnsi="Arial" w:cs="Arial"/>
          <w:spacing w:val="10"/>
          <w:sz w:val="24"/>
          <w:szCs w:val="24"/>
          <w:lang w:val="el-GR" w:eastAsia="el-GR"/>
        </w:rPr>
      </w:pPr>
      <w:r w:rsidRPr="009D11E8">
        <w:rPr>
          <w:rStyle w:val="FontStyle16"/>
          <w:rFonts w:ascii="Arial" w:hAnsi="Arial" w:cs="Arial"/>
          <w:sz w:val="24"/>
          <w:szCs w:val="24"/>
          <w:lang w:val="el-GR" w:eastAsia="el-GR"/>
        </w:rPr>
        <w:t xml:space="preserve">Η κυβέρνηση υπακούοντας στην Τρόικα προστατεύει τα ακριβά φάρμακα των πολυεθνικών, των οποίων η συμμετοχή στη δαπάνη αυξάνεται διαρκώς: Σήμερα αναλογούν περίπου στο 30% της φαρμακευτικής δαπάνης και </w:t>
      </w:r>
      <w:r w:rsidRPr="009D11E8">
        <w:rPr>
          <w:rStyle w:val="FontStyle19"/>
          <w:rFonts w:ascii="Arial" w:hAnsi="Arial" w:cs="Arial"/>
          <w:b w:val="0"/>
          <w:sz w:val="24"/>
          <w:szCs w:val="24"/>
          <w:lang w:val="el-GR" w:eastAsia="el-GR"/>
        </w:rPr>
        <w:t>μετά την ψήφιση του</w:t>
      </w:r>
      <w:r w:rsidRPr="009D11E8">
        <w:rPr>
          <w:rStyle w:val="FontStyle19"/>
          <w:rFonts w:ascii="Arial" w:hAnsi="Arial" w:cs="Arial"/>
          <w:sz w:val="24"/>
          <w:szCs w:val="24"/>
          <w:lang w:val="el-GR" w:eastAsia="el-GR"/>
        </w:rPr>
        <w:t xml:space="preserve"> </w:t>
      </w:r>
      <w:r w:rsidRPr="009D11E8">
        <w:rPr>
          <w:rStyle w:val="FontStyle19"/>
          <w:rFonts w:ascii="Arial" w:hAnsi="Arial" w:cs="Arial"/>
          <w:b w:val="0"/>
          <w:sz w:val="24"/>
          <w:szCs w:val="24"/>
          <w:lang w:val="el-GR" w:eastAsia="el-GR"/>
        </w:rPr>
        <w:t xml:space="preserve">νόμου </w:t>
      </w:r>
      <w:r w:rsidRPr="009D11E8">
        <w:rPr>
          <w:rStyle w:val="FontStyle16"/>
          <w:rFonts w:ascii="Arial" w:hAnsi="Arial" w:cs="Arial"/>
          <w:sz w:val="24"/>
          <w:szCs w:val="24"/>
          <w:lang w:val="el-GR" w:eastAsia="el-GR"/>
        </w:rPr>
        <w:t>αναμένεται να φθάσουν στο 50% δηλαδή στο 1 δις. ευρώ για το 2014.</w:t>
      </w:r>
    </w:p>
    <w:p w:rsidR="00E24712" w:rsidRPr="009D11E8" w:rsidRDefault="00E24712" w:rsidP="00E24712">
      <w:pPr>
        <w:pStyle w:val="Style3"/>
        <w:widowControl/>
        <w:numPr>
          <w:ilvl w:val="0"/>
          <w:numId w:val="1"/>
        </w:numPr>
        <w:tabs>
          <w:tab w:val="left" w:pos="581"/>
        </w:tabs>
        <w:spacing w:before="120" w:after="120" w:line="240" w:lineRule="auto"/>
        <w:ind w:right="86"/>
        <w:rPr>
          <w:rStyle w:val="FontStyle16"/>
          <w:rFonts w:ascii="Arial" w:hAnsi="Arial" w:cs="Arial"/>
          <w:sz w:val="24"/>
          <w:szCs w:val="24"/>
          <w:lang w:val="el-GR"/>
        </w:rPr>
      </w:pPr>
      <w:r w:rsidRPr="009D11E8">
        <w:rPr>
          <w:rStyle w:val="FontStyle16"/>
          <w:rFonts w:ascii="Arial" w:hAnsi="Arial" w:cs="Arial"/>
          <w:sz w:val="24"/>
          <w:szCs w:val="24"/>
          <w:lang w:val="el-GR" w:eastAsia="el-GR"/>
        </w:rPr>
        <w:t xml:space="preserve">Όμως ενώ οι πολυεθνικές με έσοδα πάνω από 1 δις. ευρώ </w:t>
      </w:r>
      <w:r w:rsidRPr="009D11E8">
        <w:rPr>
          <w:rStyle w:val="FontStyle16"/>
          <w:rFonts w:ascii="Arial" w:hAnsi="Arial" w:cs="Arial"/>
          <w:sz w:val="24"/>
          <w:szCs w:val="24"/>
          <w:u w:val="single"/>
          <w:lang w:val="el-GR" w:eastAsia="el-GR"/>
        </w:rPr>
        <w:t xml:space="preserve">μόνο από τα ακριβά φάρμακα </w:t>
      </w:r>
      <w:r w:rsidRPr="009D11E8">
        <w:rPr>
          <w:rStyle w:val="FontStyle16"/>
          <w:rFonts w:ascii="Arial" w:hAnsi="Arial" w:cs="Arial"/>
          <w:sz w:val="24"/>
          <w:szCs w:val="24"/>
          <w:lang w:val="el-GR" w:eastAsia="el-GR"/>
        </w:rPr>
        <w:t>πληρώνουν τελικά ελάχιστους φόρους, οι ελληνικές φαρμακοβιομηχανίες καταβάλλουν σημαντικά υψηλότερη φορολογία όπως άλλωστε δείχνουν και τα στοιχεία των ισολογισμών του πίνακα που ακολουθεί.</w:t>
      </w:r>
    </w:p>
    <w:p w:rsidR="00E24712" w:rsidRDefault="002A4503" w:rsidP="00E24712">
      <w:pPr>
        <w:rPr>
          <w:rStyle w:val="FontStyle16"/>
          <w:rFonts w:ascii="Arial" w:hAnsi="Arial" w:cs="Arial"/>
          <w:sz w:val="24"/>
          <w:szCs w:val="24"/>
          <w:lang w:eastAsia="el-GR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91225" cy="4010025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6C3" w:rsidRDefault="00A636C3" w:rsidP="00E24712">
      <w:pPr>
        <w:rPr>
          <w:rStyle w:val="FontStyle16"/>
          <w:rFonts w:ascii="Arial" w:hAnsi="Arial" w:cs="Arial"/>
          <w:sz w:val="24"/>
          <w:szCs w:val="24"/>
          <w:lang w:eastAsia="el-GR"/>
        </w:rPr>
      </w:pPr>
    </w:p>
    <w:p w:rsidR="00A636C3" w:rsidRDefault="00740098" w:rsidP="00E24712">
      <w:r>
        <w:t>(Στο τελευταίο κελί του πίνακα έχει γίνει τυπογραφικό λάθος, πρόκειται για τέσσερις Πολυεθνικές εταιρείες)</w:t>
      </w:r>
    </w:p>
    <w:p w:rsidR="0099143B" w:rsidRDefault="0099143B" w:rsidP="00E24712"/>
    <w:p w:rsidR="0099143B" w:rsidRDefault="0099143B" w:rsidP="0099143B">
      <w:pPr>
        <w:rPr>
          <w:rFonts w:ascii="Arial" w:hAnsi="Arial" w:cs="Arial"/>
          <w:sz w:val="24"/>
          <w:szCs w:val="24"/>
        </w:rPr>
      </w:pPr>
    </w:p>
    <w:p w:rsidR="0099143B" w:rsidRDefault="0099143B" w:rsidP="0099143B">
      <w:pPr>
        <w:rPr>
          <w:rFonts w:ascii="Arial" w:hAnsi="Arial" w:cs="Arial"/>
          <w:sz w:val="24"/>
          <w:szCs w:val="24"/>
        </w:rPr>
      </w:pPr>
    </w:p>
    <w:p w:rsidR="0099143B" w:rsidRDefault="0099143B" w:rsidP="0099143B">
      <w:pPr>
        <w:rPr>
          <w:rFonts w:ascii="Arial" w:hAnsi="Arial" w:cs="Arial"/>
          <w:sz w:val="24"/>
          <w:szCs w:val="24"/>
        </w:rPr>
      </w:pPr>
    </w:p>
    <w:p w:rsidR="0099143B" w:rsidRDefault="0099143B" w:rsidP="0099143B">
      <w:pPr>
        <w:rPr>
          <w:rFonts w:ascii="Arial" w:hAnsi="Arial" w:cs="Arial"/>
          <w:sz w:val="24"/>
          <w:szCs w:val="24"/>
        </w:rPr>
      </w:pPr>
    </w:p>
    <w:p w:rsidR="0099143B" w:rsidRDefault="0099143B" w:rsidP="0099143B">
      <w:pPr>
        <w:rPr>
          <w:rFonts w:ascii="Arial" w:hAnsi="Arial" w:cs="Arial"/>
          <w:sz w:val="24"/>
          <w:szCs w:val="24"/>
        </w:rPr>
      </w:pPr>
    </w:p>
    <w:p w:rsidR="0099143B" w:rsidRDefault="0099143B" w:rsidP="0099143B">
      <w:pPr>
        <w:rPr>
          <w:rFonts w:ascii="Arial" w:hAnsi="Arial" w:cs="Arial"/>
          <w:sz w:val="24"/>
          <w:szCs w:val="24"/>
        </w:rPr>
      </w:pPr>
    </w:p>
    <w:p w:rsidR="0099143B" w:rsidRDefault="0099143B" w:rsidP="0099143B">
      <w:pPr>
        <w:rPr>
          <w:rFonts w:ascii="Arial" w:hAnsi="Arial" w:cs="Arial"/>
          <w:sz w:val="24"/>
          <w:szCs w:val="24"/>
        </w:rPr>
      </w:pPr>
    </w:p>
    <w:p w:rsidR="0099143B" w:rsidRDefault="0099143B" w:rsidP="0099143B">
      <w:pPr>
        <w:rPr>
          <w:rFonts w:ascii="Arial" w:hAnsi="Arial" w:cs="Arial"/>
          <w:sz w:val="24"/>
          <w:szCs w:val="24"/>
        </w:rPr>
      </w:pPr>
    </w:p>
    <w:p w:rsidR="0099143B" w:rsidRDefault="0099143B" w:rsidP="0099143B">
      <w:pPr>
        <w:rPr>
          <w:rFonts w:ascii="Arial" w:hAnsi="Arial" w:cs="Arial"/>
          <w:sz w:val="24"/>
          <w:szCs w:val="24"/>
        </w:rPr>
      </w:pPr>
    </w:p>
    <w:p w:rsidR="0099143B" w:rsidRDefault="0099143B" w:rsidP="0099143B">
      <w:pPr>
        <w:rPr>
          <w:rFonts w:ascii="Arial" w:hAnsi="Arial" w:cs="Arial"/>
          <w:sz w:val="24"/>
          <w:szCs w:val="24"/>
        </w:rPr>
      </w:pPr>
    </w:p>
    <w:p w:rsidR="0099143B" w:rsidRDefault="0099143B" w:rsidP="0099143B">
      <w:pPr>
        <w:rPr>
          <w:rFonts w:ascii="Arial" w:hAnsi="Arial" w:cs="Arial"/>
          <w:sz w:val="24"/>
          <w:szCs w:val="24"/>
        </w:rPr>
      </w:pPr>
    </w:p>
    <w:p w:rsidR="0099143B" w:rsidRDefault="0099143B" w:rsidP="0099143B">
      <w:pPr>
        <w:rPr>
          <w:rFonts w:ascii="Arial" w:hAnsi="Arial" w:cs="Arial"/>
          <w:sz w:val="24"/>
          <w:szCs w:val="24"/>
        </w:rPr>
      </w:pPr>
    </w:p>
    <w:p w:rsidR="0099143B" w:rsidRDefault="0099143B" w:rsidP="0099143B">
      <w:pPr>
        <w:rPr>
          <w:rFonts w:ascii="Arial" w:hAnsi="Arial" w:cs="Arial"/>
          <w:sz w:val="24"/>
          <w:szCs w:val="24"/>
        </w:rPr>
      </w:pPr>
    </w:p>
    <w:p w:rsidR="0099143B" w:rsidRDefault="0099143B" w:rsidP="0099143B">
      <w:pPr>
        <w:rPr>
          <w:rFonts w:ascii="Arial" w:hAnsi="Arial" w:cs="Arial"/>
          <w:sz w:val="24"/>
          <w:szCs w:val="24"/>
        </w:rPr>
      </w:pPr>
    </w:p>
    <w:p w:rsidR="0099143B" w:rsidRDefault="0099143B" w:rsidP="0099143B">
      <w:pPr>
        <w:rPr>
          <w:rFonts w:ascii="Arial" w:hAnsi="Arial" w:cs="Arial"/>
          <w:sz w:val="24"/>
          <w:szCs w:val="24"/>
        </w:rPr>
      </w:pPr>
    </w:p>
    <w:p w:rsidR="0099143B" w:rsidRDefault="0099143B" w:rsidP="0099143B">
      <w:pPr>
        <w:rPr>
          <w:rFonts w:ascii="Arial" w:hAnsi="Arial" w:cs="Arial"/>
          <w:sz w:val="24"/>
          <w:szCs w:val="24"/>
        </w:rPr>
      </w:pPr>
    </w:p>
    <w:p w:rsidR="0099143B" w:rsidRDefault="0099143B" w:rsidP="0099143B">
      <w:pPr>
        <w:rPr>
          <w:rFonts w:ascii="Arial" w:hAnsi="Arial" w:cs="Arial"/>
          <w:sz w:val="24"/>
          <w:szCs w:val="24"/>
        </w:rPr>
      </w:pPr>
    </w:p>
    <w:p w:rsidR="0099143B" w:rsidRDefault="0099143B" w:rsidP="0099143B">
      <w:pPr>
        <w:rPr>
          <w:rFonts w:ascii="Arial" w:hAnsi="Arial" w:cs="Arial"/>
          <w:sz w:val="24"/>
          <w:szCs w:val="24"/>
        </w:rPr>
      </w:pPr>
    </w:p>
    <w:p w:rsidR="0099143B" w:rsidRDefault="0099143B" w:rsidP="0099143B">
      <w:pPr>
        <w:rPr>
          <w:rFonts w:ascii="Arial" w:hAnsi="Arial" w:cs="Arial"/>
          <w:sz w:val="24"/>
          <w:szCs w:val="24"/>
        </w:rPr>
      </w:pPr>
    </w:p>
    <w:p w:rsidR="0099143B" w:rsidRDefault="0099143B" w:rsidP="0099143B">
      <w:pPr>
        <w:rPr>
          <w:rFonts w:ascii="Arial" w:hAnsi="Arial" w:cs="Arial"/>
          <w:sz w:val="24"/>
          <w:szCs w:val="24"/>
        </w:rPr>
      </w:pPr>
      <w:r w:rsidRPr="00D361F5">
        <w:rPr>
          <w:rFonts w:ascii="Arial" w:hAnsi="Arial" w:cs="Arial"/>
          <w:sz w:val="24"/>
          <w:szCs w:val="24"/>
        </w:rPr>
        <w:lastRenderedPageBreak/>
        <w:t xml:space="preserve">Α)   Τα στοιχεία που έχει </w:t>
      </w:r>
      <w:r>
        <w:rPr>
          <w:rFonts w:ascii="Arial" w:hAnsi="Arial" w:cs="Arial"/>
          <w:sz w:val="24"/>
          <w:szCs w:val="24"/>
        </w:rPr>
        <w:t xml:space="preserve">ο τρίτος πίνακας </w:t>
      </w:r>
      <w:r w:rsidRPr="00D361F5">
        <w:rPr>
          <w:rFonts w:ascii="Arial" w:hAnsi="Arial" w:cs="Arial"/>
          <w:sz w:val="24"/>
          <w:szCs w:val="24"/>
        </w:rPr>
        <w:t>αφορούν στην</w:t>
      </w:r>
      <w:r w:rsidRPr="00D361F5">
        <w:rPr>
          <w:rFonts w:ascii="Arial" w:hAnsi="Arial" w:cs="Arial"/>
          <w:sz w:val="24"/>
          <w:szCs w:val="24"/>
        </w:rPr>
        <w:br/>
        <w:t xml:space="preserve"> κίνηση των ιδιωτικών φαρμακείων. ( Δεν περιέχουν τα φάρμακα που οι ασφαλισμένοι προμηθεύονται από τα φαρμακεία του ΕΟΠΥΥ και τις αγορές φαρμάκων των νοσοκομείων)</w:t>
      </w:r>
      <w:r w:rsidRPr="00D361F5">
        <w:rPr>
          <w:rFonts w:ascii="Arial" w:hAnsi="Arial" w:cs="Arial"/>
          <w:sz w:val="24"/>
          <w:szCs w:val="24"/>
        </w:rPr>
        <w:br/>
      </w:r>
      <w:r w:rsidRPr="00D361F5">
        <w:rPr>
          <w:rFonts w:ascii="Arial" w:hAnsi="Arial" w:cs="Arial"/>
          <w:sz w:val="24"/>
          <w:szCs w:val="24"/>
        </w:rPr>
        <w:br/>
        <w:t>Β)  Στ</w:t>
      </w:r>
      <w:r>
        <w:rPr>
          <w:rFonts w:ascii="Arial" w:hAnsi="Arial" w:cs="Arial"/>
          <w:sz w:val="24"/>
          <w:szCs w:val="24"/>
        </w:rPr>
        <w:t>ον τέταρτο πίνακα</w:t>
      </w:r>
      <w:r w:rsidRPr="00D361F5">
        <w:rPr>
          <w:rFonts w:ascii="Arial" w:hAnsi="Arial" w:cs="Arial"/>
          <w:sz w:val="24"/>
          <w:szCs w:val="24"/>
        </w:rPr>
        <w:t>, οι πωλήσεις από τα φαρμακεία του</w:t>
      </w:r>
      <w:r w:rsidRPr="00D361F5">
        <w:rPr>
          <w:rFonts w:ascii="Arial" w:hAnsi="Arial" w:cs="Arial"/>
          <w:sz w:val="24"/>
          <w:szCs w:val="24"/>
        </w:rPr>
        <w:br/>
        <w:t>ΕΟΠΥΥ το πρώτο εξάμηνο του 2013 ανέρχονται σε 340 χιλ και οι πληρωμές του</w:t>
      </w:r>
      <w:r w:rsidRPr="00D361F5">
        <w:rPr>
          <w:rFonts w:ascii="Arial" w:hAnsi="Arial" w:cs="Arial"/>
          <w:sz w:val="24"/>
          <w:szCs w:val="24"/>
        </w:rPr>
        <w:br/>
        <w:t>ΕΟΠΥΥ στα ιδιωτικά φαρμακεία είναι 1,098 εκ ( Τα φαρμακεία του ΕΟΠΥΥ διαθέτουν σχεδόν αποκλειστικά εισαγόμενα φάρμακα)</w:t>
      </w:r>
      <w:r w:rsidRPr="00D361F5">
        <w:rPr>
          <w:rFonts w:ascii="Arial" w:hAnsi="Arial" w:cs="Arial"/>
          <w:sz w:val="24"/>
          <w:szCs w:val="24"/>
        </w:rPr>
        <w:br/>
      </w:r>
      <w:r w:rsidRPr="00D361F5">
        <w:rPr>
          <w:rFonts w:ascii="Arial" w:hAnsi="Arial" w:cs="Arial"/>
          <w:sz w:val="24"/>
          <w:szCs w:val="24"/>
        </w:rPr>
        <w:br/>
        <w:t>Γ)   Η δαπάνη των νοσοκομείων για φάρμακα όλο το 2013 ήταν  642 εκ.  Στα νοσοκομεία πάνω από το 85% της δαπάνης προέρχεται από εισαγόμενα</w:t>
      </w:r>
      <w:r>
        <w:rPr>
          <w:rFonts w:ascii="Arial" w:hAnsi="Arial" w:cs="Arial"/>
          <w:sz w:val="24"/>
          <w:szCs w:val="24"/>
        </w:rPr>
        <w:t>.</w:t>
      </w:r>
    </w:p>
    <w:p w:rsidR="0099143B" w:rsidRDefault="0099143B" w:rsidP="0099143B">
      <w:pPr>
        <w:rPr>
          <w:rFonts w:ascii="Arial" w:hAnsi="Arial" w:cs="Arial"/>
          <w:sz w:val="24"/>
          <w:szCs w:val="24"/>
        </w:rPr>
      </w:pPr>
    </w:p>
    <w:p w:rsidR="0099143B" w:rsidRPr="00D361F5" w:rsidRDefault="0099143B" w:rsidP="009914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Από τους πίνακες αυτούς προκύπτει ότι τη μερίδα του λέοντος στην αγορά του φαρμάκου έχουν οι πολυεθνικές, αποτέλεσμα των πολιτικών των ελληνικών κυβερνήσεων.</w:t>
      </w:r>
    </w:p>
    <w:p w:rsidR="0099143B" w:rsidRDefault="0099143B" w:rsidP="0099143B">
      <w:pPr>
        <w:jc w:val="both"/>
      </w:pPr>
    </w:p>
    <w:p w:rsidR="0099143B" w:rsidRDefault="0099143B" w:rsidP="00E24712"/>
    <w:sectPr w:rsidR="0099143B" w:rsidSect="00B95DB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524CF9"/>
    <w:multiLevelType w:val="hybridMultilevel"/>
    <w:tmpl w:val="429847C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53ED5"/>
    <w:rsid w:val="002A4503"/>
    <w:rsid w:val="00453ED5"/>
    <w:rsid w:val="00740098"/>
    <w:rsid w:val="007E6B6E"/>
    <w:rsid w:val="00955F22"/>
    <w:rsid w:val="0099143B"/>
    <w:rsid w:val="009D11E8"/>
    <w:rsid w:val="00A636C3"/>
    <w:rsid w:val="00B95DB0"/>
    <w:rsid w:val="00D361F5"/>
    <w:rsid w:val="00E24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DB0"/>
    <w:pPr>
      <w:spacing w:line="276" w:lineRule="auto"/>
    </w:pPr>
    <w:rPr>
      <w:sz w:val="22"/>
      <w:szCs w:val="22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E24712"/>
    <w:pPr>
      <w:widowControl w:val="0"/>
      <w:autoSpaceDE w:val="0"/>
      <w:autoSpaceDN w:val="0"/>
      <w:adjustRightInd w:val="0"/>
      <w:spacing w:line="240" w:lineRule="auto"/>
    </w:pPr>
    <w:rPr>
      <w:rFonts w:ascii="Segoe UI" w:eastAsia="Times New Roman" w:hAnsi="Segoe UI" w:cs="Segoe UI"/>
      <w:sz w:val="24"/>
      <w:szCs w:val="24"/>
      <w:lang w:val="en-US"/>
    </w:rPr>
  </w:style>
  <w:style w:type="paragraph" w:customStyle="1" w:styleId="Style3">
    <w:name w:val="Style3"/>
    <w:basedOn w:val="a"/>
    <w:uiPriority w:val="99"/>
    <w:rsid w:val="00E24712"/>
    <w:pPr>
      <w:widowControl w:val="0"/>
      <w:autoSpaceDE w:val="0"/>
      <w:autoSpaceDN w:val="0"/>
      <w:adjustRightInd w:val="0"/>
      <w:spacing w:line="269" w:lineRule="exact"/>
      <w:ind w:hanging="350"/>
      <w:jc w:val="both"/>
    </w:pPr>
    <w:rPr>
      <w:rFonts w:ascii="Segoe UI" w:eastAsia="Times New Roman" w:hAnsi="Segoe UI" w:cs="Segoe UI"/>
      <w:sz w:val="24"/>
      <w:szCs w:val="24"/>
      <w:lang w:val="en-US"/>
    </w:rPr>
  </w:style>
  <w:style w:type="paragraph" w:customStyle="1" w:styleId="Style5">
    <w:name w:val="Style5"/>
    <w:basedOn w:val="a"/>
    <w:uiPriority w:val="99"/>
    <w:rsid w:val="00E24712"/>
    <w:pPr>
      <w:widowControl w:val="0"/>
      <w:autoSpaceDE w:val="0"/>
      <w:autoSpaceDN w:val="0"/>
      <w:adjustRightInd w:val="0"/>
      <w:spacing w:line="264" w:lineRule="exact"/>
      <w:ind w:firstLine="240"/>
      <w:jc w:val="both"/>
    </w:pPr>
    <w:rPr>
      <w:rFonts w:ascii="Segoe UI" w:eastAsia="Times New Roman" w:hAnsi="Segoe UI" w:cs="Segoe UI"/>
      <w:sz w:val="24"/>
      <w:szCs w:val="24"/>
      <w:lang w:val="en-US"/>
    </w:rPr>
  </w:style>
  <w:style w:type="paragraph" w:customStyle="1" w:styleId="Style6">
    <w:name w:val="Style6"/>
    <w:basedOn w:val="a"/>
    <w:uiPriority w:val="99"/>
    <w:rsid w:val="00E24712"/>
    <w:pPr>
      <w:widowControl w:val="0"/>
      <w:autoSpaceDE w:val="0"/>
      <w:autoSpaceDN w:val="0"/>
      <w:adjustRightInd w:val="0"/>
      <w:spacing w:line="240" w:lineRule="auto"/>
    </w:pPr>
    <w:rPr>
      <w:rFonts w:ascii="Segoe UI" w:eastAsia="Times New Roman" w:hAnsi="Segoe UI" w:cs="Segoe UI"/>
      <w:sz w:val="24"/>
      <w:szCs w:val="24"/>
      <w:lang w:val="en-US"/>
    </w:rPr>
  </w:style>
  <w:style w:type="character" w:customStyle="1" w:styleId="FontStyle16">
    <w:name w:val="Font Style16"/>
    <w:basedOn w:val="a0"/>
    <w:uiPriority w:val="99"/>
    <w:rsid w:val="00E24712"/>
    <w:rPr>
      <w:rFonts w:ascii="Segoe UI" w:hAnsi="Segoe UI" w:cs="Segoe UI"/>
      <w:sz w:val="20"/>
      <w:szCs w:val="20"/>
    </w:rPr>
  </w:style>
  <w:style w:type="character" w:customStyle="1" w:styleId="FontStyle17">
    <w:name w:val="Font Style17"/>
    <w:basedOn w:val="a0"/>
    <w:uiPriority w:val="99"/>
    <w:rsid w:val="00E24712"/>
    <w:rPr>
      <w:rFonts w:ascii="Segoe UI" w:hAnsi="Segoe UI" w:cs="Segoe UI"/>
      <w:b/>
      <w:bCs/>
      <w:sz w:val="18"/>
      <w:szCs w:val="18"/>
    </w:rPr>
  </w:style>
  <w:style w:type="character" w:customStyle="1" w:styleId="FontStyle19">
    <w:name w:val="Font Style19"/>
    <w:basedOn w:val="a0"/>
    <w:uiPriority w:val="99"/>
    <w:rsid w:val="00E24712"/>
    <w:rPr>
      <w:rFonts w:ascii="Segoe UI" w:hAnsi="Segoe UI" w:cs="Segoe UI"/>
      <w:b/>
      <w:bCs/>
      <w:spacing w:val="-10"/>
      <w:sz w:val="18"/>
      <w:szCs w:val="18"/>
    </w:rPr>
  </w:style>
  <w:style w:type="paragraph" w:styleId="a3">
    <w:name w:val="Balloon Text"/>
    <w:basedOn w:val="a"/>
    <w:link w:val="Char"/>
    <w:uiPriority w:val="99"/>
    <w:semiHidden/>
    <w:unhideWhenUsed/>
    <w:rsid w:val="00955F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55F2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synygeia</dc:creator>
  <cp:lastModifiedBy>Harry</cp:lastModifiedBy>
  <cp:revision>2</cp:revision>
  <cp:lastPrinted>2014-03-12T07:42:00Z</cp:lastPrinted>
  <dcterms:created xsi:type="dcterms:W3CDTF">2014-05-01T09:47:00Z</dcterms:created>
  <dcterms:modified xsi:type="dcterms:W3CDTF">2014-05-01T09:47:00Z</dcterms:modified>
</cp:coreProperties>
</file>